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605" w14:textId="7830825D" w:rsidR="0071282E" w:rsidRDefault="002104E3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 xml:space="preserve">Vilniaus </w:t>
      </w:r>
      <w:proofErr w:type="spellStart"/>
      <w:r>
        <w:rPr>
          <w:szCs w:val="24"/>
          <w:lang w:eastAsia="ar-SA"/>
        </w:rPr>
        <w:t>paveldotvarkos</w:t>
      </w:r>
      <w:proofErr w:type="spellEnd"/>
      <w:r>
        <w:rPr>
          <w:szCs w:val="24"/>
          <w:lang w:eastAsia="ar-SA"/>
        </w:rPr>
        <w:t xml:space="preserve"> programos</w:t>
      </w:r>
    </w:p>
    <w:p w14:paraId="386D7D89" w14:textId="32478716" w:rsidR="0071282E" w:rsidRDefault="002104E3">
      <w:pPr>
        <w:shd w:val="clear" w:color="auto" w:fill="FFFFFF"/>
        <w:suppressAutoHyphens/>
        <w:ind w:left="5103"/>
        <w:jc w:val="both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5 priedas</w:t>
      </w:r>
    </w:p>
    <w:p w14:paraId="150C9301" w14:textId="77777777" w:rsidR="0071282E" w:rsidRDefault="0071282E">
      <w:pPr>
        <w:shd w:val="clear" w:color="auto" w:fill="FFFFFF"/>
        <w:suppressAutoHyphens/>
        <w:spacing w:line="100" w:lineRule="atLeast"/>
        <w:ind w:left="5670"/>
        <w:jc w:val="both"/>
        <w:rPr>
          <w:color w:val="000000"/>
          <w:kern w:val="1"/>
          <w:szCs w:val="24"/>
          <w:lang w:eastAsia="ar-SA"/>
        </w:rPr>
      </w:pPr>
    </w:p>
    <w:p w14:paraId="4411D778" w14:textId="77777777" w:rsidR="0071282E" w:rsidRDefault="002104E3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 xml:space="preserve">FINANSAVIMO KRYPTIS </w:t>
      </w:r>
    </w:p>
    <w:p w14:paraId="150C9302" w14:textId="3EB04F7C" w:rsidR="0071282E" w:rsidRDefault="002104E3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 xml:space="preserve">„ISTORINĖS MEDINĖS ARCHITEKTŪROS </w:t>
      </w:r>
      <w:r w:rsidR="008E1924">
        <w:rPr>
          <w:b/>
          <w:color w:val="000000"/>
          <w:kern w:val="1"/>
          <w:szCs w:val="24"/>
          <w:lang w:eastAsia="ar-SA"/>
        </w:rPr>
        <w:t>VILNIAUS MIESTO KULTŪROS PAVELDO VIETOVĖSE TVARKYBA</w:t>
      </w:r>
      <w:r>
        <w:rPr>
          <w:b/>
          <w:color w:val="000000"/>
          <w:kern w:val="1"/>
          <w:szCs w:val="24"/>
          <w:lang w:eastAsia="ar-SA"/>
        </w:rPr>
        <w:t>“</w:t>
      </w:r>
    </w:p>
    <w:p w14:paraId="150C9303" w14:textId="77777777" w:rsidR="0071282E" w:rsidRDefault="0071282E">
      <w:pPr>
        <w:shd w:val="clear" w:color="auto" w:fill="FFFFFF"/>
        <w:suppressAutoHyphens/>
        <w:spacing w:line="100" w:lineRule="atLeast"/>
        <w:jc w:val="both"/>
        <w:rPr>
          <w:b/>
          <w:color w:val="000000"/>
          <w:kern w:val="1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685"/>
        <w:gridCol w:w="5387"/>
      </w:tblGrid>
      <w:tr w:rsidR="0071282E" w14:paraId="150C9307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4" w14:textId="77777777" w:rsidR="0071282E" w:rsidRDefault="002104E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5" w14:textId="77777777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Tema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6" w14:textId="77777777" w:rsidR="0071282E" w:rsidRDefault="002104E3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Aprašymas</w:t>
            </w:r>
          </w:p>
        </w:tc>
      </w:tr>
      <w:tr w:rsidR="0071282E" w14:paraId="150C930B" w14:textId="77777777" w:rsidTr="002104E3">
        <w:trPr>
          <w:trHeight w:val="103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8" w14:textId="77777777" w:rsidR="0071282E" w:rsidRDefault="002104E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9" w14:textId="37FCC669" w:rsidR="0071282E" w:rsidRDefault="002104E3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krypties tikslas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1234" w14:textId="741C0E38" w:rsidR="0071282E" w:rsidRDefault="002104E3">
            <w:pPr>
              <w:shd w:val="clear" w:color="auto" w:fill="FFFFFF"/>
              <w:suppressAutoHyphens/>
              <w:spacing w:line="100" w:lineRule="atLeast"/>
              <w:ind w:left="113" w:right="5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Išsaugoti ir atgaivinti istorinius medinius pastatus, </w:t>
            </w:r>
            <w:r w:rsidR="006D00C8">
              <w:rPr>
                <w:color w:val="000000"/>
                <w:szCs w:val="24"/>
                <w:lang w:eastAsia="ar-SA"/>
              </w:rPr>
              <w:t xml:space="preserve">esančius </w:t>
            </w:r>
            <w:r w:rsidR="00E25078">
              <w:rPr>
                <w:color w:val="000000"/>
                <w:szCs w:val="24"/>
                <w:lang w:eastAsia="ar-SA"/>
              </w:rPr>
              <w:t xml:space="preserve">Vilniuje </w:t>
            </w:r>
            <w:r w:rsidR="006D00C8">
              <w:rPr>
                <w:color w:val="000000"/>
                <w:szCs w:val="24"/>
                <w:lang w:eastAsia="ar-SA"/>
              </w:rPr>
              <w:t xml:space="preserve">saugomose </w:t>
            </w:r>
            <w:r>
              <w:rPr>
                <w:color w:val="000000"/>
                <w:szCs w:val="24"/>
                <w:lang w:eastAsia="ar-SA"/>
              </w:rPr>
              <w:t>kultūros paveldo vietovėse</w:t>
            </w:r>
          </w:p>
          <w:p w14:paraId="150C930A" w14:textId="2127F5C0" w:rsidR="0071282E" w:rsidRDefault="0071282E">
            <w:pPr>
              <w:shd w:val="clear" w:color="auto" w:fill="FFFFFF"/>
              <w:suppressAutoHyphens/>
              <w:spacing w:line="100" w:lineRule="atLeast"/>
              <w:ind w:left="113" w:right="5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71282E" w14:paraId="150C930F" w14:textId="77777777" w:rsidTr="002104E3">
        <w:trPr>
          <w:trHeight w:val="97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C" w14:textId="77777777" w:rsidR="0071282E" w:rsidRDefault="002104E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D" w14:textId="59A095F8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Finansuojami darbai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4918" w14:textId="5B52BFBF" w:rsidR="0071282E" w:rsidRDefault="006D00C8">
            <w:pPr>
              <w:shd w:val="clear" w:color="auto" w:fill="FFFFFF"/>
              <w:suppressAutoHyphens/>
              <w:spacing w:line="100" w:lineRule="atLeast"/>
              <w:ind w:left="113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Statinio išorės (stogo, fasado) ir pagrindinių vidaus laikančiųjų konstrukcijų tvarkybos darbai</w:t>
            </w:r>
          </w:p>
          <w:p w14:paraId="150C930E" w14:textId="108E33E6" w:rsidR="0071282E" w:rsidRDefault="0071282E">
            <w:pPr>
              <w:shd w:val="clear" w:color="auto" w:fill="FFFFFF"/>
              <w:suppressAutoHyphens/>
              <w:spacing w:line="100" w:lineRule="atLeast"/>
              <w:ind w:left="113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71282E" w14:paraId="150C9313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0" w14:textId="3EAAC7A8" w:rsidR="0071282E" w:rsidRDefault="002104E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1" w14:textId="719D6A74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Projektavimo, tyrimų, ekspertizių finansavimas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2" w14:textId="6C0305F9" w:rsidR="0071282E" w:rsidRDefault="002104E3" w:rsidP="006D00C8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Projektavimo paslaugoms, tyrimams,</w:t>
            </w:r>
            <w:r w:rsidR="006D00C8">
              <w:rPr>
                <w:color w:val="000000"/>
                <w:szCs w:val="24"/>
                <w:lang w:eastAsia="ar-SA"/>
              </w:rPr>
              <w:t xml:space="preserve"> konstrukcijų būklės</w:t>
            </w:r>
            <w:r w:rsidR="00FD0B0D">
              <w:rPr>
                <w:color w:val="000000"/>
                <w:szCs w:val="24"/>
                <w:lang w:eastAsia="ar-SA"/>
              </w:rPr>
              <w:t xml:space="preserve"> ir sąmatos</w:t>
            </w:r>
            <w:r>
              <w:rPr>
                <w:color w:val="000000"/>
                <w:szCs w:val="24"/>
                <w:lang w:eastAsia="ar-SA"/>
              </w:rPr>
              <w:t xml:space="preserve"> ekspertizių parengimo paslaugoms finansavimas skiriamas tuo atveju, jeigu objektas dalyvauja </w:t>
            </w:r>
            <w:r w:rsidR="00ED1F52">
              <w:rPr>
                <w:color w:val="000000"/>
                <w:szCs w:val="24"/>
                <w:lang w:eastAsia="ar-SA"/>
              </w:rPr>
              <w:t>P</w:t>
            </w:r>
            <w:r>
              <w:rPr>
                <w:color w:val="000000"/>
                <w:szCs w:val="24"/>
                <w:lang w:eastAsia="ar-SA"/>
              </w:rPr>
              <w:t>rogramoje ir yra pradėti vykdyti rangos darbai</w:t>
            </w:r>
          </w:p>
        </w:tc>
      </w:tr>
      <w:tr w:rsidR="0071282E" w14:paraId="486E5373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74D" w14:textId="2022B53B" w:rsidR="0071282E" w:rsidRDefault="002104E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B719" w14:textId="151F7E92" w:rsidR="0071282E" w:rsidRDefault="006D00C8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Projektavimo, tyrimų, konstrukcijų būklės ekspertizių finansavimo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52E7" w14:textId="77777777" w:rsidR="006D00C8" w:rsidRDefault="006D00C8" w:rsidP="006D00C8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4F59F08E" w14:textId="5A87F82A" w:rsidR="0071282E" w:rsidRDefault="006D00C8" w:rsidP="006D00C8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70 proc. </w:t>
            </w:r>
          </w:p>
        </w:tc>
      </w:tr>
      <w:tr w:rsidR="006D00C8" w14:paraId="050EE961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8046" w14:textId="6FAC2017" w:rsidR="006D00C8" w:rsidRDefault="006D00C8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 xml:space="preserve">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E58" w14:textId="68692D61" w:rsidR="006D00C8" w:rsidRDefault="006D00C8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Galimi pareiškėjai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3141" w14:textId="77777777" w:rsidR="00CF44FB" w:rsidRDefault="00CF44FB" w:rsidP="00CF44FB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P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astatų savininkai,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bendrojo naudojimo objektų valdytojai ir nuomininkai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. </w:t>
            </w:r>
          </w:p>
          <w:p w14:paraId="08E99BE9" w14:textId="77777777" w:rsidR="006D00C8" w:rsidRDefault="006D00C8" w:rsidP="00CF44FB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71282E" w14:paraId="698EC56E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36A" w14:textId="0256EF14" w:rsidR="0071282E" w:rsidRDefault="006D00C8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111" w14:textId="7E7D3D9A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Privalomi pateikti dokumentai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4A6" w14:textId="2241A0C5" w:rsidR="0071282E" w:rsidRDefault="002104E3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4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Prašymas (Programos 1 priedas)</w:t>
            </w:r>
            <w:r w:rsidR="00417F44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48E7F495" w14:textId="782B4965" w:rsidR="0071282E" w:rsidRDefault="002104E3" w:rsidP="00F37979">
            <w:pPr>
              <w:shd w:val="clear" w:color="auto" w:fill="FFFFFF"/>
              <w:tabs>
                <w:tab w:val="left" w:pos="402"/>
                <w:tab w:val="left" w:pos="1111"/>
              </w:tabs>
              <w:suppressAutoHyphens/>
              <w:spacing w:line="100" w:lineRule="atLeast"/>
              <w:ind w:left="119" w:right="144" w:hanging="4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2.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>
              <w:rPr>
                <w:color w:val="000000"/>
                <w:kern w:val="1"/>
                <w:szCs w:val="24"/>
                <w:lang w:eastAsia="ar-SA"/>
              </w:rPr>
              <w:t>Pastato visumos ir numatytų tvarkyti jo dalių esamos padėties fotofiksacija, atlikta prieš pradedant tvarkybos darbus.</w:t>
            </w:r>
          </w:p>
          <w:p w14:paraId="059ED0C6" w14:textId="2B256D02" w:rsidR="0071282E" w:rsidRDefault="002104E3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4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3.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Teisės aktų nustatyta tvarka suderintas tvarkybos darbų projektas ir leidimas jį įgyvendinti.</w:t>
            </w:r>
          </w:p>
          <w:p w14:paraId="38BBEAD6" w14:textId="48961179" w:rsidR="0071282E" w:rsidRDefault="002104E3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4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4.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 w:rsidR="00B27385">
              <w:rPr>
                <w:color w:val="000000"/>
                <w:kern w:val="1"/>
                <w:szCs w:val="24"/>
                <w:lang w:eastAsia="ar-SA"/>
              </w:rPr>
              <w:t>F</w:t>
            </w:r>
            <w:r>
              <w:rPr>
                <w:color w:val="000000"/>
                <w:kern w:val="1"/>
                <w:szCs w:val="24"/>
                <w:lang w:eastAsia="ar-SA"/>
              </w:rPr>
              <w:t>inansuojamų tvarkybos darbų sąmata</w:t>
            </w:r>
            <w:r w:rsidR="0036497D">
              <w:rPr>
                <w:color w:val="000000"/>
                <w:kern w:val="1"/>
                <w:szCs w:val="24"/>
                <w:lang w:eastAsia="ar-SA"/>
              </w:rPr>
              <w:t xml:space="preserve"> ir jos ekspertizė</w:t>
            </w:r>
            <w:r w:rsidR="006D00C8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255CE09C" w14:textId="043EE5B3" w:rsidR="0071282E" w:rsidRDefault="002104E3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4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5.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 xml:space="preserve">Projektavimo </w:t>
            </w:r>
            <w:r w:rsidR="007D5073">
              <w:rPr>
                <w:color w:val="000000"/>
                <w:kern w:val="1"/>
                <w:szCs w:val="24"/>
                <w:lang w:eastAsia="ar-SA"/>
              </w:rPr>
              <w:t xml:space="preserve">paslaugų, konstrukcijų būklės ir sąmatos ekspertizių atlikimo aktai ir sąskaitos-faktūros, tyrimų dokumentai </w:t>
            </w:r>
            <w:r>
              <w:rPr>
                <w:color w:val="000000"/>
                <w:kern w:val="1"/>
                <w:szCs w:val="24"/>
                <w:lang w:eastAsia="ar-SA"/>
              </w:rPr>
              <w:t>(pagal Programos 1</w:t>
            </w:r>
            <w:r w:rsidR="00450730">
              <w:rPr>
                <w:color w:val="000000"/>
                <w:kern w:val="1"/>
                <w:szCs w:val="24"/>
                <w:lang w:eastAsia="ar-SA"/>
              </w:rPr>
              <w:t>8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punktą), jeigu prašoma kompensuoti už šias paslaugas patirtas išlaidas.</w:t>
            </w:r>
          </w:p>
          <w:p w14:paraId="693935DE" w14:textId="6C48780D" w:rsidR="0071282E" w:rsidRDefault="002104E3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hanging="48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6.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>
              <w:rPr>
                <w:szCs w:val="24"/>
              </w:rPr>
              <w:t>Daugiabučio namo butų ir kitų patalpų savininkų sprendimas, priimtas</w:t>
            </w:r>
            <w:r w:rsidR="00ED1F52">
              <w:rPr>
                <w:szCs w:val="24"/>
              </w:rPr>
              <w:t xml:space="preserve"> Lietuvos Respublikos </w:t>
            </w:r>
            <w:r w:rsidR="00F37979">
              <w:rPr>
                <w:szCs w:val="24"/>
              </w:rPr>
              <w:t>c</w:t>
            </w:r>
            <w:r>
              <w:rPr>
                <w:szCs w:val="24"/>
              </w:rPr>
              <w:t>ivilinio kodekso 4.85 straipsnyje nustatyta tvarka, pritarti tvarkybos darbams arba negyvenamosios paskirties pastato bendraturčių sprendimas, priimtas Civilinio kodekso 4.75 straipsnyje nustatyta tvarka, pritarti tvarkybos darbams.</w:t>
            </w:r>
          </w:p>
          <w:p w14:paraId="65AAEE8F" w14:textId="4136AFC0" w:rsidR="0071282E" w:rsidRDefault="0071282E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right="144"/>
              <w:jc w:val="both"/>
              <w:rPr>
                <w:color w:val="FF0000"/>
                <w:kern w:val="1"/>
                <w:szCs w:val="24"/>
                <w:lang w:eastAsia="ar-SA"/>
              </w:rPr>
            </w:pPr>
          </w:p>
        </w:tc>
      </w:tr>
      <w:tr w:rsidR="0071282E" w14:paraId="133A9CC3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DE9" w14:textId="34EEEAC7" w:rsidR="0071282E" w:rsidRDefault="006D00C8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1F3" w14:textId="58C32A14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Specialieji reikalavimai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02F" w14:textId="5797F0CA" w:rsidR="0071282E" w:rsidRDefault="002104E3" w:rsidP="00F37979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firstLine="0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9C3327">
              <w:rPr>
                <w:color w:val="000000"/>
                <w:kern w:val="1"/>
                <w:szCs w:val="24"/>
                <w:lang w:eastAsia="ar-SA"/>
              </w:rPr>
              <w:t>Atliekant medinių pastatų stogų ir fasadų tvarkybos darbus būtina įrengti kokybišką lietaus surinkimo ir nuvedimo sistemą.</w:t>
            </w:r>
          </w:p>
          <w:p w14:paraId="3B061AEE" w14:textId="77777777" w:rsidR="00A50316" w:rsidRDefault="009C3327" w:rsidP="00A50316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firstLine="0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lastRenderedPageBreak/>
              <w:t xml:space="preserve">Atliekant pastatų išorės tvarkybos darbus (stogų ir fasadų tvarkybą) būtina išorėje pakabinti iš Agentūros gautą paruoštą informaciją apie vykdomą </w:t>
            </w:r>
            <w:r w:rsidR="00ED1F52">
              <w:rPr>
                <w:color w:val="000000"/>
                <w:kern w:val="1"/>
                <w:szCs w:val="24"/>
                <w:lang w:eastAsia="ar-SA"/>
              </w:rPr>
              <w:t>P</w:t>
            </w:r>
            <w:r>
              <w:rPr>
                <w:color w:val="000000"/>
                <w:kern w:val="1"/>
                <w:szCs w:val="24"/>
                <w:lang w:eastAsia="ar-SA"/>
              </w:rPr>
              <w:t>rogramą.</w:t>
            </w:r>
          </w:p>
          <w:p w14:paraId="61657E34" w14:textId="7443F4E0" w:rsidR="009C3327" w:rsidRPr="00A50316" w:rsidRDefault="00A50316" w:rsidP="00A50316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 w:firstLine="0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V</w:t>
            </w:r>
            <w:r w:rsidRPr="00A50316">
              <w:rPr>
                <w:color w:val="000000"/>
                <w:kern w:val="1"/>
                <w:szCs w:val="24"/>
                <w:lang w:eastAsia="ar-SA"/>
              </w:rPr>
              <w:t>adovautis Žvėryno medinių langų, apvadų ir dailylenčių kataloge esančia informacija ir Vilniaus miesto savivaldybės administracijos direktoriaus patvirtintomis Medinių langų ir durų tvarkybos ir atkūrimo rekomendacijomis.</w:t>
            </w:r>
          </w:p>
          <w:p w14:paraId="256E4ADC" w14:textId="6C85BE15" w:rsidR="0071282E" w:rsidRDefault="0071282E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71282E" w14:paraId="5AA48705" w14:textId="77777777" w:rsidTr="002104E3">
        <w:trPr>
          <w:trHeight w:val="127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74A" w14:textId="53A96B9B" w:rsidR="0071282E" w:rsidRDefault="006D00C8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6E1" w14:textId="5B9D67B4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Kitos sąlygos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2321" w14:textId="5F4F1E87" w:rsidR="0071282E" w:rsidRDefault="00B27385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</w:t>
            </w:r>
            <w:r w:rsidR="008439CF">
              <w:rPr>
                <w:color w:val="000000"/>
                <w:kern w:val="1"/>
                <w:szCs w:val="24"/>
                <w:lang w:eastAsia="ar-SA"/>
              </w:rPr>
              <w:t>.</w:t>
            </w:r>
            <w:r w:rsidR="008439CF">
              <w:rPr>
                <w:color w:val="000000"/>
                <w:kern w:val="1"/>
                <w:szCs w:val="24"/>
                <w:lang w:eastAsia="ar-SA"/>
              </w:rPr>
              <w:tab/>
              <w:t>Planuojami darbai gali būti atliekami etapais, ne ilgiau kaip per 3 metus.</w:t>
            </w:r>
          </w:p>
          <w:p w14:paraId="3416D234" w14:textId="0135AD58" w:rsidR="008439CF" w:rsidRDefault="00B27385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2</w:t>
            </w:r>
            <w:r w:rsidR="008439CF">
              <w:rPr>
                <w:color w:val="000000"/>
                <w:kern w:val="1"/>
                <w:szCs w:val="24"/>
                <w:lang w:eastAsia="ar-SA"/>
              </w:rPr>
              <w:t>.</w:t>
            </w:r>
            <w:r w:rsidR="008439CF">
              <w:rPr>
                <w:color w:val="000000"/>
                <w:kern w:val="1"/>
                <w:szCs w:val="24"/>
                <w:lang w:eastAsia="ar-SA"/>
              </w:rPr>
              <w:tab/>
              <w:t>Po tvarkybos darbų pabaigimo privaloma pateikti:</w:t>
            </w:r>
          </w:p>
          <w:p w14:paraId="4AF64173" w14:textId="5F4D6727" w:rsidR="008439CF" w:rsidRDefault="008439CF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a) atliktų darbų priėmimo perdavimo aktus</w:t>
            </w:r>
            <w:r w:rsidR="00ED1F52">
              <w:rPr>
                <w:color w:val="000000"/>
                <w:kern w:val="1"/>
                <w:szCs w:val="24"/>
                <w:lang w:eastAsia="ar-SA"/>
              </w:rPr>
              <w:t>;</w:t>
            </w:r>
          </w:p>
          <w:p w14:paraId="20F4A824" w14:textId="197D2257" w:rsidR="0071282E" w:rsidRDefault="008439CF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b) sąskaitas faktūras</w:t>
            </w:r>
            <w:r w:rsidR="00ED1F52">
              <w:rPr>
                <w:color w:val="000000"/>
                <w:kern w:val="1"/>
                <w:szCs w:val="24"/>
                <w:lang w:eastAsia="ar-SA"/>
              </w:rPr>
              <w:t>;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3DF95312" w14:textId="13551301" w:rsidR="0071282E" w:rsidRDefault="008439CF" w:rsidP="00F37979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c)</w:t>
            </w:r>
            <w:r w:rsidR="00ED1F52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pastato visumos ir sutvarkytų jo dalių esamos padėties fotofiksacija (iš tų pačių taškų, kaip prieš pradedant tvarkybos darbus). </w:t>
            </w:r>
          </w:p>
          <w:p w14:paraId="00F88F77" w14:textId="25E7BF2F" w:rsidR="0071282E" w:rsidRDefault="0071282E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71282E" w14:paraId="37A9826F" w14:textId="77777777" w:rsidTr="002104E3">
        <w:trPr>
          <w:trHeight w:val="41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E2F" w14:textId="6941A7B3" w:rsidR="0071282E" w:rsidRDefault="008439CF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0FD" w14:textId="7D6A2CAF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būdas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77A" w14:textId="77777777" w:rsidR="0071282E" w:rsidRDefault="002104E3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Finansavimas skiriamas išlaidų kompensavimo būdu</w:t>
            </w:r>
          </w:p>
          <w:p w14:paraId="1DBEB16E" w14:textId="6C0CF000" w:rsidR="0071282E" w:rsidRDefault="0071282E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 w:firstLine="62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71282E" w14:paraId="17F1278C" w14:textId="77777777" w:rsidTr="002104E3">
        <w:trPr>
          <w:trHeight w:val="421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F357" w14:textId="06C4AB83" w:rsidR="0071282E" w:rsidRDefault="008439CF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1517" w14:textId="4D0B0254" w:rsidR="0071282E" w:rsidRDefault="002104E3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29A8" w14:textId="64E86D4C" w:rsidR="0071282E" w:rsidRDefault="002104E3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70 proc. </w:t>
            </w:r>
          </w:p>
          <w:p w14:paraId="326CEDF2" w14:textId="195A1E5B" w:rsidR="0071282E" w:rsidRDefault="0071282E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71282E" w14:paraId="150C9320" w14:textId="77777777" w:rsidTr="002104E3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9" w14:textId="5BC4AE73" w:rsidR="0071282E" w:rsidRDefault="002104E3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</w:t>
            </w:r>
            <w:r w:rsidR="008439CF">
              <w:rPr>
                <w:b/>
                <w:color w:val="000000"/>
                <w:kern w:val="1"/>
                <w:szCs w:val="24"/>
                <w:lang w:eastAsia="ar-SA"/>
              </w:rPr>
              <w:t>1</w:t>
            </w:r>
            <w:r>
              <w:rPr>
                <w:b/>
                <w:color w:val="000000"/>
                <w:kern w:val="1"/>
                <w:szCs w:val="24"/>
                <w:lang w:eastAsia="ar-SA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A" w14:textId="7A1E71F3" w:rsidR="0071282E" w:rsidRDefault="002104E3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Vertinimo prioritetai</w:t>
            </w:r>
          </w:p>
          <w:p w14:paraId="150C931B" w14:textId="77777777" w:rsidR="0071282E" w:rsidRDefault="0071282E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DE51" w14:textId="453A1AE4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1.</w:t>
            </w:r>
            <w:r>
              <w:rPr>
                <w:color w:val="000000"/>
                <w:szCs w:val="24"/>
                <w:lang w:eastAsia="ar-SA"/>
              </w:rPr>
              <w:tab/>
              <w:t xml:space="preserve">Pastatai, esantys Šnipiškių </w:t>
            </w:r>
            <w:r w:rsidR="00C072E7">
              <w:rPr>
                <w:color w:val="000000"/>
                <w:szCs w:val="24"/>
                <w:lang w:eastAsia="ar-SA"/>
              </w:rPr>
              <w:t>teritorijoje</w:t>
            </w:r>
            <w:r>
              <w:rPr>
                <w:color w:val="000000"/>
                <w:szCs w:val="24"/>
                <w:lang w:eastAsia="ar-SA"/>
              </w:rPr>
              <w:t xml:space="preserve">, vadinamoje </w:t>
            </w:r>
            <w:proofErr w:type="spellStart"/>
            <w:r>
              <w:rPr>
                <w:color w:val="000000"/>
                <w:szCs w:val="24"/>
                <w:lang w:eastAsia="ar-SA"/>
              </w:rPr>
              <w:t>Skansenu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12599).</w:t>
            </w:r>
          </w:p>
          <w:p w14:paraId="62E6EAF8" w14:textId="4BDF7DF4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2.</w:t>
            </w:r>
            <w:r>
              <w:rPr>
                <w:color w:val="000000"/>
                <w:szCs w:val="24"/>
                <w:lang w:eastAsia="ar-SA"/>
              </w:rPr>
              <w:tab/>
            </w:r>
            <w:r w:rsidR="0036497D">
              <w:rPr>
                <w:color w:val="000000"/>
                <w:szCs w:val="24"/>
                <w:lang w:eastAsia="ar-SA"/>
              </w:rPr>
              <w:t>K</w:t>
            </w:r>
            <w:r>
              <w:rPr>
                <w:color w:val="000000"/>
                <w:szCs w:val="24"/>
                <w:lang w:eastAsia="ar-SA"/>
              </w:rPr>
              <w:t>ultūros paveldo objektai.</w:t>
            </w:r>
          </w:p>
          <w:p w14:paraId="0F9CC246" w14:textId="486809D5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3.</w:t>
            </w:r>
            <w:r>
              <w:rPr>
                <w:color w:val="000000"/>
                <w:szCs w:val="24"/>
                <w:lang w:eastAsia="ar-SA"/>
              </w:rPr>
              <w:tab/>
              <w:t>Pastatai, esantys Šnipiškių seniūnijoje.</w:t>
            </w:r>
          </w:p>
          <w:p w14:paraId="7DCA0FF7" w14:textId="318979FC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4.</w:t>
            </w:r>
            <w:r>
              <w:rPr>
                <w:color w:val="000000"/>
                <w:szCs w:val="24"/>
                <w:lang w:eastAsia="ar-SA"/>
              </w:rPr>
              <w:tab/>
              <w:t>Pastatai</w:t>
            </w:r>
            <w:r w:rsidR="00C072E7">
              <w:rPr>
                <w:color w:val="000000"/>
                <w:szCs w:val="24"/>
                <w:lang w:eastAsia="ar-SA"/>
              </w:rPr>
              <w:t>,</w:t>
            </w:r>
            <w:r>
              <w:rPr>
                <w:color w:val="000000"/>
                <w:szCs w:val="24"/>
                <w:lang w:eastAsia="ar-SA"/>
              </w:rPr>
              <w:t xml:space="preserve"> esantys Vilniaus miesto istorinėse dalyse: Žvėryne (u. k. KVR 33652), Naujamiestyje (u. k. KVR 33653), Antakalnyje (u. k. KVR 16084).</w:t>
            </w:r>
          </w:p>
          <w:p w14:paraId="75C2599F" w14:textId="7096C9AB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5.</w:t>
            </w:r>
            <w:r>
              <w:rPr>
                <w:color w:val="000000"/>
                <w:szCs w:val="24"/>
                <w:lang w:eastAsia="ar-SA"/>
              </w:rPr>
              <w:tab/>
              <w:t>Pastatai, esantys Tuputiškių gyvenvietėje (u. k. KVR 33512).</w:t>
            </w:r>
          </w:p>
          <w:p w14:paraId="067173F5" w14:textId="58AD66D3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6.</w:t>
            </w:r>
            <w:r>
              <w:rPr>
                <w:color w:val="000000"/>
                <w:szCs w:val="24"/>
                <w:lang w:eastAsia="ar-SA"/>
              </w:rPr>
              <w:tab/>
              <w:t>Pastatai, esantys Senamiesčio seniūnij</w:t>
            </w:r>
            <w:r w:rsidR="00C072E7">
              <w:rPr>
                <w:color w:val="000000"/>
                <w:szCs w:val="24"/>
                <w:lang w:eastAsia="ar-SA"/>
              </w:rPr>
              <w:t>os teritorijoje</w:t>
            </w:r>
            <w:r>
              <w:rPr>
                <w:color w:val="000000"/>
                <w:szCs w:val="24"/>
                <w:lang w:eastAsia="ar-SA"/>
              </w:rPr>
              <w:t>.</w:t>
            </w:r>
          </w:p>
          <w:p w14:paraId="649DD545" w14:textId="1741C6B9" w:rsidR="0071282E" w:rsidRDefault="002104E3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7.</w:t>
            </w:r>
            <w:r>
              <w:rPr>
                <w:color w:val="000000"/>
                <w:szCs w:val="24"/>
                <w:lang w:eastAsia="ar-SA"/>
              </w:rPr>
              <w:tab/>
              <w:t>Pastatai, esantys Rasų seniūni</w:t>
            </w:r>
            <w:r w:rsidR="00C072E7">
              <w:rPr>
                <w:color w:val="000000"/>
                <w:szCs w:val="24"/>
                <w:lang w:eastAsia="ar-SA"/>
              </w:rPr>
              <w:t>jos teritorijoje</w:t>
            </w:r>
            <w:r>
              <w:rPr>
                <w:color w:val="000000"/>
                <w:szCs w:val="24"/>
                <w:lang w:eastAsia="ar-SA"/>
              </w:rPr>
              <w:t>.</w:t>
            </w:r>
          </w:p>
          <w:p w14:paraId="6A30CFE0" w14:textId="1EF5862E" w:rsidR="00EC5EE1" w:rsidRPr="00EC5EE1" w:rsidRDefault="00EC5EE1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val="en-US"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8. Pastatai, esantys ties tvarkytinomis gatvėmis. </w:t>
            </w:r>
          </w:p>
          <w:p w14:paraId="4BAE06E4" w14:textId="028815EC" w:rsidR="0071282E" w:rsidRDefault="00EC5EE1" w:rsidP="00F37979">
            <w:pPr>
              <w:shd w:val="clear" w:color="auto" w:fill="FFFFFF"/>
              <w:tabs>
                <w:tab w:val="left" w:pos="360"/>
                <w:tab w:val="left" w:pos="544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9. </w:t>
            </w:r>
            <w:r>
              <w:rPr>
                <w:color w:val="000000"/>
                <w:szCs w:val="24"/>
                <w:lang w:eastAsia="ar-SA"/>
              </w:rPr>
              <w:tab/>
              <w:t>Prašymo pateikimo data ir laikas.</w:t>
            </w:r>
          </w:p>
          <w:p w14:paraId="150C931F" w14:textId="2BE2C2DA" w:rsidR="0071282E" w:rsidRDefault="0071282E">
            <w:pPr>
              <w:shd w:val="clear" w:color="auto" w:fill="FFFFFF"/>
              <w:tabs>
                <w:tab w:val="left" w:pos="360"/>
                <w:tab w:val="left" w:pos="540"/>
              </w:tabs>
              <w:suppressAutoHyphens/>
              <w:spacing w:line="100" w:lineRule="atLeast"/>
              <w:ind w:left="450" w:right="14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</w:tbl>
    <w:p w14:paraId="150C942A" w14:textId="77777777" w:rsidR="0071282E" w:rsidRDefault="002104E3" w:rsidP="002104E3">
      <w:pPr>
        <w:shd w:val="clear" w:color="auto" w:fill="FFFFFF"/>
        <w:suppressAutoHyphens/>
        <w:spacing w:line="100" w:lineRule="atLeast"/>
        <w:jc w:val="center"/>
        <w:rPr>
          <w:rFonts w:ascii="Arial" w:hAnsi="Arial" w:cs="Arial"/>
          <w:color w:val="000000"/>
          <w:sz w:val="20"/>
          <w:lang w:eastAsia="ar-SA"/>
        </w:rPr>
      </w:pPr>
      <w:r>
        <w:rPr>
          <w:color w:val="000000"/>
          <w:szCs w:val="24"/>
          <w:lang w:eastAsia="ar-SA"/>
        </w:rPr>
        <w:t>______________</w:t>
      </w:r>
    </w:p>
    <w:sectPr w:rsidR="00712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05CF" w14:textId="77777777" w:rsidR="00741682" w:rsidRDefault="00741682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endnote>
  <w:endnote w:type="continuationSeparator" w:id="0">
    <w:p w14:paraId="4351D472" w14:textId="77777777" w:rsidR="00741682" w:rsidRDefault="00741682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4" w14:textId="77777777" w:rsidR="0071282E" w:rsidRDefault="0071282E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5" w14:textId="77777777" w:rsidR="0071282E" w:rsidRDefault="0071282E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7" w14:textId="77777777" w:rsidR="0071282E" w:rsidRDefault="0071282E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A5BA" w14:textId="77777777" w:rsidR="00741682" w:rsidRDefault="00741682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footnote>
  <w:footnote w:type="continuationSeparator" w:id="0">
    <w:p w14:paraId="0DD55B33" w14:textId="77777777" w:rsidR="00741682" w:rsidRDefault="00741682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1" w14:textId="77777777" w:rsidR="0071282E" w:rsidRDefault="0071282E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2" w14:textId="77777777" w:rsidR="0071282E" w:rsidRDefault="002104E3">
    <w:pPr>
      <w:tabs>
        <w:tab w:val="center" w:pos="4819"/>
        <w:tab w:val="right" w:pos="9638"/>
      </w:tabs>
      <w:suppressAutoHyphens/>
      <w:ind w:firstLine="720"/>
      <w:jc w:val="center"/>
      <w:rPr>
        <w:rFonts w:ascii="Arial" w:hAnsi="Arial" w:cs="Arial"/>
        <w:sz w:val="20"/>
        <w:lang w:eastAsia="ar-SA"/>
      </w:rPr>
    </w:pPr>
    <w:r>
      <w:rPr>
        <w:rFonts w:ascii="Arial" w:hAnsi="Arial" w:cs="Arial"/>
        <w:sz w:val="20"/>
        <w:lang w:eastAsia="ar-SA"/>
      </w:rPr>
      <w:fldChar w:fldCharType="begin"/>
    </w:r>
    <w:r>
      <w:rPr>
        <w:rFonts w:ascii="Arial" w:hAnsi="Arial" w:cs="Arial"/>
        <w:sz w:val="20"/>
        <w:lang w:eastAsia="ar-SA"/>
      </w:rPr>
      <w:instrText xml:space="preserve"> PAGE   \* MERGEFORMAT </w:instrText>
    </w:r>
    <w:r>
      <w:rPr>
        <w:rFonts w:ascii="Arial" w:hAnsi="Arial" w:cs="Arial"/>
        <w:sz w:val="20"/>
        <w:lang w:eastAsia="ar-SA"/>
      </w:rPr>
      <w:fldChar w:fldCharType="separate"/>
    </w:r>
    <w:r>
      <w:rPr>
        <w:rFonts w:ascii="Arial" w:hAnsi="Arial" w:cs="Arial"/>
        <w:sz w:val="20"/>
        <w:lang w:eastAsia="ar-SA"/>
      </w:rPr>
      <w:t>5</w:t>
    </w:r>
    <w:r>
      <w:rPr>
        <w:rFonts w:ascii="Arial" w:hAnsi="Arial" w:cs="Arial"/>
        <w:sz w:val="20"/>
        <w:lang w:eastAsia="ar-SA"/>
      </w:rPr>
      <w:fldChar w:fldCharType="end"/>
    </w:r>
  </w:p>
  <w:p w14:paraId="150C9433" w14:textId="77777777" w:rsidR="0071282E" w:rsidRDefault="0071282E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6" w14:textId="77777777" w:rsidR="0071282E" w:rsidRDefault="0071282E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B00"/>
    <w:multiLevelType w:val="hybridMultilevel"/>
    <w:tmpl w:val="31C4A732"/>
    <w:lvl w:ilvl="0" w:tplc="4A4A4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87711"/>
    <w:multiLevelType w:val="hybridMultilevel"/>
    <w:tmpl w:val="36EEA99A"/>
    <w:lvl w:ilvl="0" w:tplc="1876DD7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1A951B9"/>
    <w:multiLevelType w:val="hybridMultilevel"/>
    <w:tmpl w:val="38022FF4"/>
    <w:lvl w:ilvl="0" w:tplc="1CE6094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2B771EB"/>
    <w:multiLevelType w:val="hybridMultilevel"/>
    <w:tmpl w:val="1B2A5FD0"/>
    <w:lvl w:ilvl="0" w:tplc="3DE254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35072779">
    <w:abstractNumId w:val="3"/>
  </w:num>
  <w:num w:numId="2" w16cid:durableId="1464083531">
    <w:abstractNumId w:val="2"/>
  </w:num>
  <w:num w:numId="3" w16cid:durableId="1432314649">
    <w:abstractNumId w:val="1"/>
  </w:num>
  <w:num w:numId="4" w16cid:durableId="3253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56"/>
    <w:rsid w:val="00005DC3"/>
    <w:rsid w:val="00010AD4"/>
    <w:rsid w:val="00146C39"/>
    <w:rsid w:val="00151B68"/>
    <w:rsid w:val="002104E3"/>
    <w:rsid w:val="00307F13"/>
    <w:rsid w:val="00320DEF"/>
    <w:rsid w:val="00322A9C"/>
    <w:rsid w:val="0036497D"/>
    <w:rsid w:val="00365997"/>
    <w:rsid w:val="003C2530"/>
    <w:rsid w:val="00417F44"/>
    <w:rsid w:val="0042020B"/>
    <w:rsid w:val="00450730"/>
    <w:rsid w:val="00471170"/>
    <w:rsid w:val="00487C19"/>
    <w:rsid w:val="00496304"/>
    <w:rsid w:val="004E6E5E"/>
    <w:rsid w:val="00501427"/>
    <w:rsid w:val="005172CE"/>
    <w:rsid w:val="00526A73"/>
    <w:rsid w:val="005568AF"/>
    <w:rsid w:val="00622BC3"/>
    <w:rsid w:val="006276A5"/>
    <w:rsid w:val="00667F4C"/>
    <w:rsid w:val="006D00C8"/>
    <w:rsid w:val="006D49A5"/>
    <w:rsid w:val="0071282E"/>
    <w:rsid w:val="00720369"/>
    <w:rsid w:val="00741682"/>
    <w:rsid w:val="007D5073"/>
    <w:rsid w:val="007F1ADB"/>
    <w:rsid w:val="00830F1E"/>
    <w:rsid w:val="008439CF"/>
    <w:rsid w:val="008B7B67"/>
    <w:rsid w:val="008E1924"/>
    <w:rsid w:val="008F419B"/>
    <w:rsid w:val="0091494F"/>
    <w:rsid w:val="009C3327"/>
    <w:rsid w:val="009E2589"/>
    <w:rsid w:val="009E2EF7"/>
    <w:rsid w:val="00A15136"/>
    <w:rsid w:val="00A173D2"/>
    <w:rsid w:val="00A20556"/>
    <w:rsid w:val="00A40210"/>
    <w:rsid w:val="00A50316"/>
    <w:rsid w:val="00AE17A0"/>
    <w:rsid w:val="00B040A0"/>
    <w:rsid w:val="00B048C5"/>
    <w:rsid w:val="00B155DF"/>
    <w:rsid w:val="00B27385"/>
    <w:rsid w:val="00B701D3"/>
    <w:rsid w:val="00BD0FB8"/>
    <w:rsid w:val="00BF411B"/>
    <w:rsid w:val="00C072E7"/>
    <w:rsid w:val="00CF44FB"/>
    <w:rsid w:val="00D31043"/>
    <w:rsid w:val="00D533A8"/>
    <w:rsid w:val="00DA7977"/>
    <w:rsid w:val="00DB0FC4"/>
    <w:rsid w:val="00E25078"/>
    <w:rsid w:val="00E90D71"/>
    <w:rsid w:val="00EB40BE"/>
    <w:rsid w:val="00EC422D"/>
    <w:rsid w:val="00EC5EE1"/>
    <w:rsid w:val="00ED06B2"/>
    <w:rsid w:val="00ED1F52"/>
    <w:rsid w:val="00ED6B9E"/>
    <w:rsid w:val="00F05740"/>
    <w:rsid w:val="00F37979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C92FD"/>
  <w15:docId w15:val="{2ED6D23F-2D7D-42BD-8E2A-8E48D37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072E7"/>
    <w:pPr>
      <w:ind w:left="720"/>
      <w:contextualSpacing/>
    </w:pPr>
  </w:style>
  <w:style w:type="paragraph" w:styleId="Revision">
    <w:name w:val="Revision"/>
    <w:hidden/>
    <w:semiHidden/>
    <w:rsid w:val="0041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059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89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5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2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87c5bcc2d5de46ea9d3b30fb7d7c5cf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001A-A7A7-4166-9AC0-9A477C1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87c5bcc2d5de46ea9d3b30fb7d7c5cfa.dot</Template>
  <TotalTime>3</TotalTime>
  <Pages>2</Pages>
  <Words>422</Words>
  <Characters>2970</Characters>
  <Application>Microsoft Office Word</Application>
  <DocSecurity>0</DocSecurity>
  <Lines>118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(6 PRIEDAS)</dc:title>
  <dc:subject>1-1628</dc:subject>
  <dc:creator>VILNIAUS MIESTO SAVIVALDYBĖS TARYBA</dc:creator>
  <cp:lastModifiedBy>Aušra Laričevienė</cp:lastModifiedBy>
  <cp:revision>7</cp:revision>
  <cp:lastPrinted>2018-06-26T10:57:00Z</cp:lastPrinted>
  <dcterms:created xsi:type="dcterms:W3CDTF">2026-01-05T12:45:00Z</dcterms:created>
  <dcterms:modified xsi:type="dcterms:W3CDTF">2026-01-29T10:57:00Z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